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Бурятия от 10.05.2023, оставленным без изменения постановлением Четвертого арбитражного апелляционного суда от 25.07.2023, заявление удовлетворено частично: требование в размере 223 574 рублей 56 копеек включено в третью очередь реестра, в установлении залогового статуса требования отказано. Арбитражный суд Восточно-Сибирского округа постановлением от 12.10.2023 произвел замену акционерного общества «Коммерческий банк «Русский Народный Банк» на общество с ограниченной ответственностью «Коллект Солюшенс» и оставил без изменения определение от 10.05.2023 и постановление апелляционного суда от 25.07.2023. В кассационной жалобе общество «Коллект Солюшенас» просит об отмене судебных актов, ссылаясь на невыбытие автомобиля из владения должника.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судов о выбытии транспортного средства из владения должника основан на сведениях из официального источника, датированных более поздним числом нежели обозначаемые кредитором сведения.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«Коллект Солюшенс»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