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06.04.2023, оставленным без изменения постановлением Десятого арбитражного апелляционного суда от 13.06.2023 и постановлением Арбитражного суда Московского округа от 13.09.2023, иск удовлетворен. В кассационной жалобе компания просит об отмене судебных актов, ссылаясь на неприменение вины в качестве основания ответственности и неуменьшение ее в силу статьи 333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Требование о взыскании платы за сверхнормативное использование вагонов основано на условиях заключенного сторонами договора от 26.05.2014 №1/02/42/144/14. Плата не является неустойкой и не подлежит уменьшению в силу статьи 333 Гражданского кодекса Российской Федерации. В предпринимательских отношениях вина не является основанием ответственности (пункт 3 статьи 401 Гражданского кодекса российской Федерации).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«Транспортно-логистическая компания «Альтернатива»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