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28.03.2023, оставленным без изменения постановлением Пятого арбитражного апелляционного суда от 23.06.2023 и постановлением Арбитражного суда Дальневосточного округа от 19.09.2022, исковые требования удовлетворены. В кассационной жалобе общество «Гласстекс» просит об отмене судебных актов, ссылаясь на недоказанность несения истцом расходов, недобросовестность действий истца, непривлечение к участию в деле ОАО «РЖД», ограничение доступа к правосудию.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оплату экспедитором (истцом) дополнительных расходов, понесенных по независящим от него обстоятельствам, удовлетворили иск исходя из условий договора транспортной экспедиции от 19.07.2021 № А1/РК/01210719, статьи 801 Гражданского кодекса Российской Федерации и статьи 10 Федерального закона от 30.06.2003 № 87-ФЗ «О транспортно- экспедиционной деятельности». Доводы заявителя о непривлечении к участию в деле в качестве третьего лица, не заявляющего самостоятельных требований относительно предмета спора, акционерного общества «Российские железные дороги» и ограничении ответчику доступа к правосудию были предметом рассмотрения окружного суда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«Гласстекс»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