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19.05.2023, оставленным без изменения постановлением Семнадцатого арбитражного апелляционного суда от 11.07.2023 и постановлением Арбитражного суда Уральского округа от 15.09.2023, в удовлетворении заявления отказано. В кассационной жалобе Рызаев А.А. просит об отмене судебных актов, ссылаясь на направление супругами денежных средств в совместные долгосрочные инвестиции и злоупотребление супругами правами в связи с разделом имущества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Требуемая переоценка обстоятельств расходования должником денежных средств не создает обозначенных оснований для пересмотра судебных актов. Руководствуясь статьями 291, 292.9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Рызаеву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