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13.10.2022 иск удовлетворен в заявленном размере. Четвертый арбитражный апелляционный суд постановлением от 21.06.2023 изменил решение от 13.10.2023 и взыскал убытки в размере 152 400 рублей. Арбитражный суд Восточно-Сибирского округа постановлением от 19.09.2023 отменил постановление апелляционного суда от 21.06.2023 и оставил решение от 13.10.2022 без изменения. В кассационной жалобе предприниматель просит об отмене решение и постановления окружного суда, ссылаясь неправильное определение размера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стоимость поврежденного груза согласно договору отправителя с продавцом и учли удерживание груза предпринимателем, поэтому взыскали его полную стоимость в силу статей 15, 393, 796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Калаврию В.А.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