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«ТОЦ Лето Менеджмент»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Чилиевой Хаве Ахметовне (далее – Предприниматель) о взыскании 788 029 рублей 44 копеек за выполненные работы во исполнение предписаний надзорного органа по противопожарной безопасности в здании по адресу: г. Москва, пр-т Вернадского, 29 (далее – здание). Решением Арбитражного суда города Москвы от 19.01.2023, оставленным без изменения постановлением Девятого арбитражного апелляционного суда от 29.03.2023 и постановлением Арбитражного суда Московского округа от 13.07.2023,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обязанность оплатить фактические затраты на выполнение предписаний надзорного органа могла возникнуть только после решения общего собрания собственников здания; 2 присуждая к взысканию денежные средства, суд не произвел разбивку сумм; суды пришли к ошибочному выводу, что срок исковой давности не пропущен.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Предприниматель в спорном здании является собственником нежилого помещения площадью 2 361, 4 кв. м, сданного в аренду, что подтверждается свидетельством от 18.05.2015 77-АС 290405. Общество с 01.11.2014 является организацией, оказывающей услуги эксплуатационно-технического обслуживания мест общего пользования в здании на основании заключенных с собственниками типовых договоров оказания услуг. Аналогичный договор от 01.10.2015 № 12/15 ЭиУ заключен между ответчиком (собственник) и истцом (исполнитель). В период с 23.05.2018 по 29.06.2021 Гагаринской межрайонной прокуратурой г. Москвы совместно с Управлением по ЮЗАО ГУ МЧС России по г. Москве (далее – Управление) проводились внеплановые проверки исполнения законодательства о пожарной безопасности в спорном здании. По результатам проверки Управлением вынесены предписания от 23.05.2018 № 79/1/1, от 21.08.2018 № 140/1/1, от 05.04.2019 № 55/1/1, которыми предписано организовать устранение нарушений собственниками здания требований пожарной безопасности по 17 пунктам. Истец в исполнение предписаний в интересах собственников помещений организовал выполнение работ по проектированию и монтажу противопожарных систем здания и закупке оборудования. Факт выполнения работ подтверждается актом проверки органом государственного надзора (контроля), органа муниципального контроля от 29.06.2021. Размер взносов собственников в фонд капитального ремонта здания типовыми договорами эксплуатации не установлен, ввиду чего Общество произвело расчет доли собственников в стоимости общедомовых работ (оборудования) соразмерно площади помещений в составе общеполезной площади здания (сумма площадей всех помещений в индивидуальной собственности), а в части монтажа оборудования на конкретном этаже - соразмерно площади помещений на этаже. Общая стоимость работ и смонтированного оборудования составляет 7 613 344 рубля 72 копейки; доля Предпринимателя в стоимости работ составляет 788 029 рублей 44 копеек. 3 Поскольку в досудебном порядке требования о возмещении стоимости работ оставлены без удовлетворения,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196, 200, 247, 249, 307, 309, 310, 420, 425, 1102 Гражданского кодекса Российской Федерации, статьей 37 Жилищного кодекса Российской Федерации, статьей 38 Федерального закона от 21.12.1994 № 69-ФЗ «О пожарной безопасности»,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в постановлении Пленума Верховного Суда Российской Федерации от 23.06.2015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выводу, исходя из того, что Предприниматель как собственник помещения в здании является лицом, ответственным за соблюдение требований противопожарной безопасности, обязан нести затраты по устранению Обществом как управляющей организацией нарушений, выявленных уполномоченным органом. Отклоняя довод утверждение ответчика о том, что обязанность оплатить фактические затраты на устранение предписаний МЧС возникает исключительно по решению общего собрания, суды указали, что обязанность соблюдения требований пожарной безопасности возложена на собственников помещений Федеральным законом от 21.12.1994 № 69-ФЗ «О пожарной безопасности», Правилами противопожарного режима, утвержденного постановлением Правительства Российской Федерации от 16.09.2020№1479. Ответчик не представил доказательств, что стоимость выполненных работ (смонтированных систем) значительно превышает среднерыночные цены на аналогичные товары (услуги) либо объем работ выходит за рамки предписаний. Судами обоснованно отклонен довод Предпринимателя о пропуске Обществом срока исковой давности, придя к выводу, его следует исчислять с даты последнего исполненного обязательства по договору. Если договор содержит обязательство поставить оборудование (выполнить работы) и встречное обязательство оплатить их, то окончанием исполнения договора следует считать наступление наиболее позднего из этих событий. В рассматриваемом случае, истцом представлен подробный расчет, подтверждающий, что требования заявлены в пределах трехлетнего срока с даты исполнения каждого договора. Иные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индивидуального предпринимателя Чилиевой Хавы Ахметовны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