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 кассационной инстанций норм права, просит пересмотреть указанные судебные акты в кассационном порядке.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Прекращая производство по апелляционной жалобе заявителя, апелляционный суд руководствовался положениями статей 42 , 150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отсутствия у заявителя права на обжалование решения суда первой инстанции, поскольку оно не принято о его правах и обязанностях и не содержит каких-либо выводов в отношении заявителя. Окружной суд поддержал выводы суда апелляционной инстанции, отметив при этом, что наличие у заявителя заинтересованности в исходе дела само по себе не наделяет его правом на обжалование судебного акта Доводы кассационной жалобы не подтверждают существенных нарушений судами апелляционной и кассационной инстанций норм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Утарбекова Андрея Абдахматовича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МЕЖРАЙОННАЯ ИНСПЕКЦИЯ ФЕДЕРАЛЬНОЙ НАЛОГОВОЙ СЛУЖБЫ №16 ПО КРАСНОДАРСКОМУ КРАЮ (подробнее) МИФНС России №16 по КК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