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Ссылка подателей жалоб на судебные акты по делу № А47-12503/2022 в обоснование своей позиции по спору не свидетельствует о нарушении судами единообразия в толковании и применении норм материального права с учетом обстоятельств спора.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саморегулируемой организации Ассоциация «Союз строителей Западной Сибири» и индивидуальному предпринимателю Аполонскому Андрею Ивановичу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Прокуратура Алтайского края (подробнее) Ответчики: МБОУ "Ремзаводская средняя общеобразовательная школа" (подробнее) Иные лица: АССОЦИАЦИЯ "ОБЩЕРОССИЙСКАЯ НЕГОСУДАРСТВЕННАЯ НЕКОММЕРЧЕСКАЯ ОРГАНИЗАЦИЯ - ОБЩЕРОССИЙСКОЕ ОТРАСЛЕВОЕ ОБЪЕДИНЕНИЕ РАБОТОДАТЕЛЕЙ "НАЦИОНАЛЬНОЕ ОБЪЕДИНЕНИЕ САМОРЕГУЛИРУЕМЫХ ОРГАНИЗАЦИЙ, ОСНОВАННЫХ НА ЧЛЕНСТВЕ ЛИЦ, ОСУЩЕСТВЛЯЮЩИХ СТРОИТЕЛЬСТВО" (подробнее) Томская прокуратура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