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05.09.2022 иск удовлетворен. Постановлением Десятого арбитражного апелляционного суда от 05.05.2023, оставленным без изменения постановлением Арбитражного суда Московского округа от 15.08.2023, решение суда первой инстанции изменено в части истребования помещения из незаконного владения, изменена редакция резолютивной части в соответствующей части. В кассационных жалобах, поданных в Судебную коллегию Верховного Суда Российской Федерации, заявители просят отменить названные судебные акты, ссылаясь на их незаконность. По смыслу части 1 статьи 2911, части 7 статьи 2916, статьи 29111 Арбитражного процессуального кодекса Российской Федерации (далее – Кодекс)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кассационных жалоб не установлено. Рассматривая спор, суды, руководствуясь положениями статей 166 - 168 , 174 Гражданского кодекса Российской Федерации, Федерального закона от 08.02.1998 № 14-ФЗ «Об обществах с ограниченной ответственностью», пришли к выводу, что указанный истцом договор купли-продажи был заключен заведомо в ущерб интересам общества, принадлежавшее ему недвижимое имущество было продано по символической цене (70 000 рублей против 11 025 318 рублей 02 копеек кадастровой стоимости), последующие сделки по отчуждению помещения основаны на ничтожной сделке и также являются недействительными, имеются основания для применения последствий недействительности в виде возврата покупателю ФИО1 уплаченных денежных средств и истребования имущества из незаконного владения ответчиков. Заявление о пропуске срока исковой давности судами проверено и признано несостоятельным. Доводы заявителей кассационных жалоб основаны на иной оценке обстоятельств спора и ином толковании норм действующего законодательства, применимого к спорным правоотношениям, выводы судов не опровергают и не свидетельствуют о наличии оснований для передачи жалоб на рассмотрение в судебном заседании. Руководствуясь статьями 2916, 2918, 29111 Кодекса,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гражданам ФИО1, ФИО2, ФИО3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Е.Н.Золотова Суд: Верховный Суд РФ (подробнее) Истцы: ООО "Пальмира" (подробнее) Судьи дела: Золотова Е.Н. (судья) (подробнее) Последние документы по делу: Определение от 11 января 2024 г. по делу № А41-25432/2022 Определение от 31 октября 2023 г. по делу № А41-25432/2022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