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02.03.2023, оставленным без изменения постановлением Девятого арбитражного апелляционного суда от 13.06.2023 и постановлением Арбитражного суда Московского округа от 16.10.2023, заявление удовлетворено. В кассационной жалобе Котлов В.В. просит об отмене судебных актов, ссылаясь на несоответствие выводов судов о наличии условий недействительности сделки фактическим обстоятельствам спора, нарушение правил доказывания.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заключения оспариваемого брачного договора от 01.12.2018 суды установили условия его недействительности в силу пункта 2 статьи 61.2 Федерального закона от 26.10.2002 № 127-ФЗ «О несостоятельности (банкротстве)».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Котлову Владиславу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