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судьи Верховного Суда Российской Федерации от 20.11.2023 заявителю предоставлена отсрочка уплаты государственной пошлины до окончания рассмотрения кассационной жалобы. Учитывая, что производство по рассмотрению кассационной жалобы завершено, государственная пошлина в размере 3000 рублей подлежит взысканию с общества с ограниченной ответственностью «Меркурий»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«Меркурий» в передаче кассационной жалобы для рассмотрения в судебном заседании Судебной 2 коллегии по экономическим спорам Верховного Суда Российской Федерации. Взыскать с общества с ограниченной ответственностью «Меркурий» в доход федерального бюджета государственную пошлину в размере 3000 (трех тысяч) рублей за рассмотрение кассационной жалобы Верховным Судом Российской Федерации. Арбитражному суду Краснодарского края выдать исполнительный лист на взыскание государственной пошлины.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