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Ханты-Мансийского автономного округа - Югры от 28.03.2023, оставленным без изменения постановлением Восьмого арбитражного апелляционного суда от 29.06.2023 и постановлением Арбитражного суда Западно-Сибирского округа от 07.09.2023, заявление удовлетворено. В кассационной жалобе должник просит об отмене судебных актов как незаконных.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состоявшийся переход прав от первоначального кредитора к новому, поэтому произвели замену в соответствии со статьей 48 Арбитражного процессуального кодекса Российской Федерации и статьями 382 , 384 Гражданского кодекса Российской Федерации и их судебным толкованием. Возражения против замены, изложенные в жалобе, были предметом рассмотрения и оценки судов и не опровергают их выводов.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Решетниковой Светлане Михайловне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ФИО2 Суд: Верховный Суд РФ (подробнее) Истцы: ООО "Аккорд" (подробнее) ООО "Роса (подробнее) Иные лица: АНО АССОЦИАЦИЯ ЕВРОСИБИРСКАЯ САМОРЕГУЛИРУЕМАЯ ОРГАНИЗАЦИЯ АРБИТРАЖНЫХ УПРАВЛЯЮЩИХ (подробнее) Департамент архитектуры и градостроительства Администрации города Сургута (подробнее) ИП Бондаренко Дмитрий Александрович (подробнее) Оносова (решетникова) А (подробнее) ООО "Звезда Сибири"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