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25.01.2023, оставленным без изменения постановлением Двадцатого арбитражного апелляционного суда от 21.04.2023 и постановлением Арбитражного суда Центрального округа от 06.09.2023, заявление удовлетворено. В кассационной жалобе Драникова Ю.В. просит об отмене судебных актов, ссылаясь на пропуск кредитором срока исковой давности, отсутствие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Вопрос о сроке исковой давности разрешен в соответствии со статьями 200, пунктом 2 статьи 181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Драниковой Юлии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