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Красноярского края от 09.03.2023, оставленным без изменения постановлением Третьего арбитражного апелляционного суда от 03.07.2023 и постановлением Арбитражного суда Восточно-Сибирского округа от 07.09.2023, сособственнику предоставлена возможность воспользоваться преимущественным правом покупки. В кассационной жалобе Исупова М.В. просит об отмене судебных актов, ссылаясь на отсутствие преимущественного права покупки у бывшей супруги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Наличие долевой собственности в отношении реализуемой квартиры установлено судом общей юрисдикции, поэтому применение судами правила статьи 250Гражданского кодекса Российской Федерации правомерно. Иное толкование заявителем норм права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Исуповой Марине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