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06.03.2023 в удовлетворении иска отказано. Постановлением Тринадцатого арбитражного апелляционного суда от 08.06.2023 решение суда отменено, иск удовлетворен. Постановлением Арбитражного суда Северо-Западного округа от 12.09.2023 постановление апелляционного суда от 08.06.2023 отменено, решение суда первой инстанции от 06.03.2023 оставлено в силе. В кассационной жалобе компания просит об отмене постановления окружного суда, ссылаясь на неосновательные полное освобождение от ответственности и переоценку фактических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признал наличие оснований для освобождения ответчика от ответственности в силу нарушения им договора вследствие неисполнения истцом обязательств и действия моратория. В отсутствие у суда апелляционной инстанции оснований для иной оценки тех же обстоятельств его постановление отменено окружным судом в пределах статей 286, 287 Арбитражного процессуального кодекса Российской Федерации. Условий для соразмерного уменьшения ответственности, допускаемое при наличии вины обеих сторон в неисполнении обязательства (статья 404 Гражданского кодекса Российской Федерации), суды в пределах рассматриваемого спора не установили.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«Нефтехимическая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