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01.03.2023, оставленным без изменения постановлением Девятого арбитражного апелляционного суда от 15.06.2023 и постановлением Арбитражного суда Московского округа от 06.09.2023, удовлетворено ходатайство ООО «Девелоперская компания Паллада-Тверь» об исправлении опечатки в определении Арбитражного суда города Москвы от 09.12.2022 и его резолютивной части от 06.12.2022. В кассационной жалобе Агамирзаев А.А. просит отменить судебные акты, указывая, что требуемое исправление допущенной в документах заявителя опечатки не попадает под исправление опечатки в судебном акте.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 исправлении судом в противоречие со статьей 179 Арбитражного процессуального кодекса Российской Федерации опечатки в документах заявителя, а не в судебном акте неоснователен.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Агамирзаеву Адлану Абдуловичу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