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09.12.2022, оставленным без изменения постановлением Девятого арбитражного апелляционного суда от 10.03.2023 и постановлением Арбитражного суда Московского округа от 06.09.2023, требование кредитора признано обоснованным и включено в третью очередь реестра. В кассационной жалобе Агамирзаев А.А. просит отменить судебные акты, ссылаясь на отсутствие основания для включения в реестр спорной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кредитора, подтвержденное судебным актом суда общей юрисдикции, признано отвечающим критериям статей 71, 100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Агамирзаеву Адлану Абдуловичу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