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«Арма-2» (далее – Общество) обратилось в Арбитражный суд города Москвы с иском к акционерному обществу «Трест Гидромонтаж» (далее – Компания) о взыскании 917 125 рублей 08 копеек неустойки. Решением Арбитражного суда города Москвы от 16.11.2021, оставленным без изменения постановлением Девятого арбитражного апелляционного суда от 24.02.2022, требования удовлетворены. Постановлением Арбитражного суда Московского округа от 27.05.2022 решение от 16.11.2021 и апелляционное постановление от 24.02.2022 отменены, дело направлено на новое рассмотрение в Арбитражный суд города Москвы. При новом рассмотрении определением Арбитражного суда города Москвы от 17.03.2023 удовлетворено заявление о процессуальном правопреемстве: произведена замена взыскателя по делу с Общества на индивидуального предпринимателя Подольского Анатолия Викторовича (далее – Предприниматель). Решением Арбитражного суда города Москвы от 03.04.2023 с Компании в пользу Предпринимателя взыскано 159 091 рубль 74 копейки процентов за пользование чужими денежными средствами. Постановлением Девятого арбитражного апелляционного суда от 07.06.2023 решение от 03.04.2023 отменено, в удовлетворении требований отказано; 2 определение от 17.03.2023 оставлено без изменения; распределены судебные расходы. Постановлением Арбитражного суда Московского округа от 21.09.2023 апелляционное постановление от 07.06.2023 в части отказа в удовлетворении исковых требований и распределения судебных расходов отменено, решение от 03.04.2023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процессуального права. В обоснование доводов жалобы заявитель указывает, что суд неправомерно по собственной инициативе изменил квалификацию заявленных требований. В соответствии с частью 1 статьи 291.1, частью 7 статьи 291.6 и статьей 291.11 Арбитражного процессуального суда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Заявление требования о взыскании неустойки были мотивированны несвоевременной оплатой Компанией оказанных услуг, в связи с чем Общество обратилось в суд, ссылаясь на пункт 5 договора, согласно которому оплата за оказанные услугу производиться путем безналичного перечисления денежных средств на расчетный счет в течение 30 календарных дней со дня подписания акта приема сдачи работ. Суд первой инстанции, дав правовую квалификацию заявленного требования и придя к выводу, что условие о неустойке сторонами в договоре не согласовано, руководствуясь статьями 309, 310, 330, 331, 395, 779 Гражданского кодекса Российской Федерации, разъяснениями, изложенными в пункте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25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частично удовлетворил исковые требования в части взыскания процентов за пользование чужими денежными средствами в размере 159 081 руб.74 коп., квалифицировав требования истца в соответствии со статьей 395 Гражданского кодекса Российской Федерации, которые предполагают последствия неисполнения или просрочки денежного обязательства. 3 Суд апелляционной инстанции, отменяя решения суда первой инстанции и отказывая в удовлетворении иска, указал, что условие о неустойке сторонами не согласовано, при этом, Обществом заявлено требование именно о взыскании неустойки за нарушение денежного обязательства, которое не подлежат удовлетворению из-за неверной квалификации требований.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в обжалуемой части и оставил в силе решение суда первой инстанции, признав правомерным квалификацию заявленных требований по статье 395 Гражданского кодекса Российской Федерации.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«Трест Гидромонтаж»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