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Ивановской области от 20.03.2023 требование компании признано подлежащим включено в третью очередь реестра. Постановлением Второго арбитражного апелляционного суда от 26.05.2023, оставленным без изменения постановлением Арбитражного суда Волго-Вятского округа от 13.09.2023, определение отменено, производство по заявлению прекращено. В кассационной жалобе должник просит об отмене постановлений судов апелляционной и кассационной инстанций, ссылаясь на нераспространение моратория на инициированное должником банкротство.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Иное понимание должником последствий введения моратория не создает обозначенных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Нуреева Гаруну Анзаровичу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