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05.07.2023, оставленным без изменения постановлением Десятого арбитражного апелляционного суда от 07.09.2023, в удовлетворении заявления отказано. В кассационной жалобе акционерное общество «БМ-Банк» просит об отмене судебных актов, ссылаясь несоответствие утвержденного плана реструктуризации долгов закону и нарушение им прав кредитора.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 принятие оспариваемого решения в соответствии с компетенцией и без нарушения процедуры проведения собрания и, учитывая полномочия суда на введение процедуры реструктуризации долгов, признали отсутствие в силу статей 12, 15, 213.8, 213.12, 213.17 Федерального закона от 26.10.2002 № 127-ФЗ «О несостоятельности (банкротстве)» основания для недействительности решения собрания кредиторов по вопросу утверждения плана реструктуризации долгов.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«БМ-Банк»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