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Арбитражный суд города Санкт-Петербурга и Ленинградской области от 25.05.2023, оставленным без изменения постановлением Тринадцатого арбитражного апелляционного суда от 28.07.2023 и постановлением Арбитражного суда Северо-Западного округа от 03.10.2023, в удовлетворении заявления отказано. В кассационной жалобе общество «ГОРТЕСТ» просит об отмене судебных актов, ссылаясь неосновательное применение статей 69, 311 Арбитражного процессуального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Отказывая во включении требования в реестр, суд первой инстанции в соответствии со статьей 69 Арбитражного процессуального кодекса Российской Федерации исходил из обстоятельств злоупотребления правом кредитором, установленных в решении от 09.11.2022 по делу № А60-23141/2022 Арбитражного суда Свердловской области. Принятые по указанному делу судебные акты на момент рассмотрения обособленного спора апелляционным и окружным судами были отменены, в связи с чем суды указали на право заявителя обратиться в суд первой инстанции с заявлением о пересмотре определения об отказе во включении требования в реестр по новым обстоятельствам в силу пункта 1 части 3 статьи 311 Арбитражного процессуального кодекса Российской Федерации и пункта 22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«ГОРТЕСТ»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