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прекращением производства по делу № А41-356/2023 по причине заключения мирового соглашения Арбитражным судом Московской области определением от 06.03.2023 возвращена сумма уплаченной государственной пошлины в размере 45 004,40 рублей. Заявитель просит частично зачесть уплаченную и подлежащую возвращению государственную пошлину по делу № А41-356/2023 в счет оплаты государственной пошлины за рассмотрение кассационной жалобы Верховным Судом Российской Федерации по настоящему делу. Статьей 104 Арбитражного процессуального кодекса Российской Федерации предусмотрено, что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подпункту 12 пункта 1 статьи 33321 Налогового кодекса Российской Федерации за подачу кассационной жалобы подлежит уплате государственная пошлина в размере 3000 рублей. 2 В соответствии с пунктом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Таким образом, для реализации права на зачет суммы ранее уплаченной государственной пошлины необходимо к соответствующему заявлению приложить документы, указанные в абзаце 2 пункта 6 статьи 33340 Налогового кодекса Российской Федерации. Рассмотрев ходатайство общества и представленные в его обоснование документы, суд приходит к выводу об отсутствии оснований для его удовлетворения, поскольку к рассматриваемому заявлению о зачете государственной пошлины обществом не приложена справка на возврат государственной пошлины. В соответствии с пунктом 1 части 1 статьи 2915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Руководствуясь статьями 104, 184, 185, 2915 Арбитражного процессуального кодекса Российской Федерации и статьей 33321, 33340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«РГ-Ремсервис» о зачете государственной пошлины отказать, кассационную жалобу возвратить заявителю.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