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производства по делу на основании пункта 1 части 1 статьи 143 Арбитражного процессуального кодекса Российской Федерации не подлежит рассмотрению.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инспекции по контролю за использованием объектов недвижимости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