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10 января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доводы кассационной жалобы не подтверждают наличие оснований, предусмотренных статьями 2916, 29111 Арбитражного процессуального кодекса Российской Федерации, для передачи жалобы для рассмотрения в судебном заседании Судебной коллегии Верховного Суда Российской Федерации и пересмотра обжалуемых судебных актов, поскольку не позволяют сделать вывод о том, что при рассмотрении дела допущены нарушения норм материального права и (или) норм процессуального права, приведшие к судебной ошибке существенного и непреодолимого характера. Руководствуясь статьями 2916, 2918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Администрации муниципального образования Горковское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А.Г.Першутов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