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06.06.2023, оставленным без изменения постановлением Пятнадцатого арбитражного апелляционного суда от 30.07.2023 и постановлением Арбитражного суда Северо-Кавказского округа от 17.10.2023, в третью очередь реестра включено требование в размере 7 554 372 рублей 78 копеек. В кассационной жалобе Дира Д.В. просит об отмене судебных актов, ссылаясь на игнорирование продления договора займа в заключенном дополнительном соглашении. В силу части 1 статьи 291.1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Исследовав содержание дополнительного соглашения, суды признали его не касающимся изменения срока возврата займа, поэтому при применении срока исковой давности по заявленному требованию руководствовались условиями договора займа от 09.02.2017 и статьями 195, 196, 199, 200, 207, 431 Гражданского кодекса Российской Федерации. Иная оценка кредитором дополнительного соглашения и его последствий не создает обозначенных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Дире Дмитрию Владимировичу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