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02.05.2023, оставленным без изменения постановлением Тринадцатого арбитражного апелляционного суда от 19.07.2023 и постановлением Арбитражного суда Северо-Западного округа от 10.10.2023, заявление удовлетворено. В кассационной жалобе Ходченко В.В. просит о пересмотре судебных актов, ссылаясь на неверный расчет процентов.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Размер процентов по вознаграждению финансового управляющего исчислен исходя из вырученной от реализации имущества должника суммы, направленной на удовлетворение требований кредиторов, в соответствии с пунктом 17 статьи 20.6 Федерального закона от 26.10.2002 № 127-ФЗ «О несостоятельности (банкротстве)», ее судебному толкованию и применению.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Ходченко Валерию Викентьевичу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