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26.12.2023 обратился в Верховный Суд Российской Федерации с жалобой на определение судьи Верховного Суда Российской Федерации от 30.11.2023 № 309-ЭС23-22876, решение Арбитражного суда Челябинской области от 06.03.2023, постановление Восемнадцатого арбитражного апелляционного суда от 01.06.2023 и постановление Арбитражного суда Уральского округа от 22.08.2023 по делу № А76-30503/2022,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2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Доводов, обосновывающих уважительность пропуска рассматриваемого срока, заявителем не приведено.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Управления Федеральной службы государственной регистрации, кадастра и картографии по Челябинской области о восстановлении пропущенного процессуального срока отказать. Жалобу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