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09.06.2023, оставленным без изменения постановлением Девятого арбитражного апелляционного суда от 21.08.2023 и постановлением Арбитражного суда Московского округа от 25.10.2023, в удовлетворении заявления отказано. В кассационной жалобе Бузунова Г.В. просит об отмене судебных актов, ссылаясь на превышение стоимости реализованного имущества над задолженностью.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нарушений процедуры проведения торгов, реализацию имущества в соответствии с утвержденным судом Положением, поэтому в силу статьи 449 Гражданского кодекса Российской Федерации признали отсутствие основания для признания торгов недействительными. Доводы о размере задолженности, реализации имущества в большем необходимого объеме мотивированно отклонены.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Бузуновой Галине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