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09.06.2023, оставленным без изменения постановлением Девятого арбитражного апелляционного суда от 21.08.2023 и постановлением Арбитражного суда Московского округа от 25.10.2023, в удовлетворении заявления отказано. В кассационной жалобе Бузунова Г.В. просит об отмене судебных актов, ссылаясь на отсутствие установленного судом размера субсидиарной ответственности должника, принимаемого для определения подлежащего реализации имущества.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нарушений для применения к управляющему требуемой меры, поэтому отклонили заявление в соответствии со статьями 20.3, 60, 213.9 Федерального закона от 26.10.2002 № 127-ФЗ «О несостоятельности (банкротстве)»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Бузуновой Галине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