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Забайкальского края от 26.06.2023, оставленным без изменения постановлением Четвертого арбитражного апелляционного суда от 31.07.2023 и постановлением Арбитражного суда Восточно-Сибирского округа от 13.10.2023, производство по заявлению прекращено в связи с установлением судом текущего характера требований. В кассационной жалобе ФИО1 просит об отмене судебных актов, ссылаясь на неприменение в ее деле последствий действия моратория.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Иное толкование должником норм права о последствиях введения моратория не создает названных оснований для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ПУБЛИЧНОЕ АКЦИОНЕРНОЕ ОБЩЕСТВО СБЕРБАНК РОССИИ (подробнее) Ответчики: Кузнецова(мочалова) Татьяна Ивановна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