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13.06.2023 процедура реализации имущества гражданина завершена, Бурыкин Д.В. освобожден дальнейшего исполнения требований кредиторов, за исключением обязательств, предусмотренных пунктами 5, 6 статьи 213.28 Федерального закона от 26.10.2002 № 127-ФЗ «О несостоятельности (банкротстве)», установлены проценты по вознаграждению финансовому управляющему. Постановлением Семнадцатого арбитражного апелляционного суда от 04.08.2023, оставленным без изменения постановлением Арбитражного суда Уральского округа от 09.10.2023, определение от 13.06.2023 отменено в части: в отношении должника не применены правила об освобождении от исполнения обязательств перед уполномоченным органом. В кассационной жалобе Бурыкин Д.В. просит о пересмотре судебных актов апелляционного и окружного судов, ссылаясь на несоответствие выводов судов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и исполнения обязательства перед кредитором апелляционный суд установил действия должника, не допускающие в силу пункта 4 статьи 213.28 Федерального закона от 26.10.2002 № 127-ФЗ «О несостоятельности (банкротстве)» освобождения от погашения задолженности. Иная оценка должником обстоятельств спора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Бурыкину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