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кассационное производство завершено, ходатайство о приостановлении исполнения судебных актов не подлежит рассмотрению по существу.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«Алмаз» в передаче 2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