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16.01.2023, оставленным без изменения постановлением Тринадцатого арбитражного апелляционного суда от 01.06.2023 и постановлением Арбитражного суда Северо-Западного округа от 05.10.2023, в удовлетворении иска отказано. 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принятых по делу судебных актов и доводов кассационной жалобы не установлено. Как следует из судебных актов, обращаясь в арбитражный суд с иском о привлечении общества к субсидиарной ответственности по обязательствам компании (застройщик), Сниховская Н.И. (участник долевого строительства) сослалась на то, что в результате произошедшей в период гарантийного срока протечки установленного застройщиком или привлеченным им лицом шланга гибкой проводки ей причинен ущерб, однако компания ликвидирована в добровольном порядке на основании принятого ответчиком решения единственного участника.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15, 53.1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установив отсутствие доказательств неразумности, недобросовестности действий ответчика, нарушения процедуры ликвидации компании, отметив, что залив принадлежащей истцу квартиры произошел после ликвидации компании, суды не усмотрели оснований для привлечения общества к субсидиарной ответственности и отказали в удовлетворении иска.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Сниховской Натальи Иосифовны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