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28.12.2023 с ходатайством о восстановлении срока, которое обосновывается неполучением по запросу копий судебных актов на бумажном носителе для подачи жалобы.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 не позднее следующего дня после его принятия. Текст постановления Арбитражного суда Московского округа от 16.08.2023 согласно картотеке арбитражных дел сайта http://kad.arbitr.ru 2 размещен в сети Интернет 17.08.2023 и с этого дня был доступен для ознакомления. Официальное опубликование 17.08.2023 текста постановления указывает на отсутствие нарушения судом срока его изготовления и направления и отсутствие препятствий для своевременного его кассационного обжалования в Верховный Суд российской Федерации. Последствия ожидания получения копий судебных актов за пределами установленного срока на обжалование возлагаются на заявителя и не создают основания для восстановления срока. Документы и государственная пошлина настоящим определением не возвращаются в связи их оформлением в электронном виде.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«Юпиал Транс» в восстановлении срока подачи кассационной жалобы на решение Арбитражного суда города Москвы от 17.01.2023, постановление Девятого арбитражного апелляционного суда от 29.03.2023 и постановление Арбитражного суда Московского округа от 16.08.2023 по делу № А40-118100/2022. Кассационную жалобу общества с ограниченной ответственностью «Юпиал Транс»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