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подаче кассационной жалобы обществу с ограниченной ответственностью «Строительное транспортное предприятие Союз» предоставлена отсрочка уплаты государственной пошлины. Поскольку производство по рассмотрению кассационной жалобы завершено, государственная пошлина подлежит взысканию с заявителя в доход федерального бюджета.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«Строительное транспортное предприятие Союз» в передаче кассационной жалобы 2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«Строительное транспортное предприятие Союз» в доход федерального бюджета 3 000 (три тысячи) рублей государственной пошлины за рассмотрение кассационной жалобы. Поручить Арбитражному суду Челябинской области выдать исполнительный лист на взыскание государственной пошлины.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