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4 статьи 18 Арбитражного процессуального кодекса Российской Федерации замена судьи, арбитражного заседателя производится в случаях прекращения или приостановления их полномочий по основаниям, установленным федеральным законом. Решением Высшей квалификационной коллегии судей Российской Федерации от 26.12.2023 прекращены полномочия судьи Верховного Суда Российской Федерации Павловой Н.В. на основании подпункта 1 пункта 1 статьи 14 Закона Российской Федерации от 26.06.1992 № 3132-I «О статусе судей в Российской Федерации». Таким образом, кассационную жалобу с делом следует передать другому судье. Руководствуясь статьями 18, 184 Арбитражного процессуального кодекса Российской Федерации, председатель судебного состава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Павловой Н.В. на судью Першутова А.Г. по кассационному производству № 307-ЭС23-22201. Председатель третьего судебного состава, судья Верховного Суда Российской Федерации Ю.Г. Иваненко</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