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«Технотранс» (далее – ООО «Технотранс», общество, заявитель) обратилось в Арбитражный суд города Москвы с иском, уточненным в порядке статьи 49 Арбитражного процессуального кодекса Российской Федерации (далее – АПК РФ) к обществу с ограниченной ответственностью «Кью-Воркс» (далее – ООО «Кью-Воркс», компания) о взыскании 24 498 076,49 руб. неотработанного аванса, 3 964 496,88 руб. неустойки, 2 802 051,64 руб. убытков. Определением от 26.01.2023 к совместному рассмотрению с первоначальным иском был принят встречный иск о взыскании 6 602 397,58 руб. задолженности, 1 102 600,40 руб. неустойки. Решением Арбитражного суда города Москвы от 25.04.2023, оставленным без изменения постановлением Девятого арбитражного апелляционного суда от 06.07.2023, первоначальный иск удовлетворен частично: с компании в пользу общества взыскана неустойка в размере 3 338 879,37 руб., в удовлетворении остальной части первоначального иска отказано. Встречный иск удовлетворен частично: с общества в пользу компании взыскано 1 390 012,53 руб. задолженности, 47 260,43 руб. неустойка, в удовлетворении остальной части встречного иска отказано. 2 Постановлением Арбитражного суда Московского округа от 11.10.2023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вышли за пределы заявленных требований общества, нарушили требования статьи 10 АПК, статей 15, 393, 431 Гражданского кодекса Российской Федерации (далее – ГК РФ), не применили положений пункта 2 статьи 10 ГК РФ, неправомерное взыскали неустойку.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в апреле-мае 2021 года приобрело во временное владение и пользование следующие нежилые помещения: нежилое помещение, предназначенное для использования в качестве офисного помещения, расположенное по адресу: г. Москва, ул. Василисы Кожиной, д. 1, на 6 этаже, пом. 1, ком. 8, общей площадью 961,7 кв.м. на основании договора аренды нежилого помещения № 12/КМ от 30.04.2021, заключенного между ООО «Технотранс» и ООО «ВК-инвест»; нежилое подсобное помещение № 13, расположенное по адресу: г. Москва, ул. Василисы Кожиной, д. 1, этаж 6 площадью 14,1 кв.м. на основании договора аренды нежилого помещения № 3/ИЭ/21 от 19.05.2021, заключенного между ООО «Технотранс» и ООО «ИКЕР ЭСТЕИТ»; нежилое подсобное помещение № 14, расположенное по адресу: г. Москва, ул. Василисы Кожиной, д. 1, этаж 6, общей площадью 5,4 кв.м. на основании договора аренды нежилого помещения № 4/ИЭ/21 от 19.05.2021, заключенного между ООО «Технотранс» и ООО «ИКЕР ТЕЙТ»; нежилое подсобное помещение № 37, расположенное по адресу: г. Москва, ул. Василисы Кожиной, д. 1, этаж 6, площадью 9,0 кв.м. на основании договора аренды нежилого помещения № 4/ИЭ/21 от 19.05.2021, заключенного между ООО «Технотранс» и ООО «ИКЕР ЭСТЕЙТ»; нежилое подсобное помещение № 34, расположенное по адресу: г. Москва, ул. Василисы Кожиной, д.1, этаж 7, площадью 10,0 кв.м. на основании договора аренды нежилого помещения № 6//ИЭ/21 от 01.06.2021 , заключенного между ООО «Технотранс» и ООО «ИКЕР ЭСТЕЙТ» (далее - помещения). Данные помещения, инженерные коммуникации и оборудование были приняты ООО «Технотранс» в состоянии, требующем ремонта, что подтверждается актами приема-передачи к вышеуказанным договорам аренды. 3 В связи с необходимостью проведения ремонтных работ, 01.07.2021 между ООО «Технотранс» (заказчик) и ООО «Кью-Воркс» (подрядчик) был заключен договор подряда № 04/2021-ХД, в соответствии с которым ООО «Кью-Воркс» приняло на себя обязательства выполнить строительно-монтажные работы в сроки и по цене, установленные договором и приложениями к нему, в соответствии с переданной подрядчику утвержденной проектной документацией (в том числе измененной или дополнительной). Согласно пункту 2.1 договора стоимость договора определена в смете и составляет 24 498 431,32 руб. в т.ч. НДС 20%. Соглашением № 1 от 01.09.2021 общая стоимость договора сторонами увеличена до 26 766 655,83 руб. Согласно пункту 3.1 договора срок начала выполнения работ 05.07.2021, срок окончания работ - 08.09.2021. В рамках указанного договора заказчиком произведены оплаты подрядчику на сумму 25 376 688,30 руб., что подтверждается платежными поручениями № 2541 от 05.07.2021 на сумму 9 799 372,53 руб., № 3915 от 28.09.2021 на сумму 9 651 400,85 руб., № 4117 от 11.10.2021 на сумму 3000 000 руб., № 4212 от 15.10.2021 на сумму 1 925 914,92 руб., № 4688 от 17.11.2021 на сумму 1 000 000 руб. Согласно позиции заказчика, подрядчик предусмотренные договором работы не выполнил и не сдал. Обществом в адрес компании была направлена претензия с требованием о возвращении неотработанного аванса, которая была оставлена без удовлетворения. Общество указало, что в результате нарушения сроков выполнения строительно- монтажных работ ООО «Технотранс» было вынуждено неоднократно продливать срок аренды помещения, предназначенного для размещения офиса ООО Технотранс» в рамках заключенного договора № 06/01/Н02/01/2021 от 24.12.2020; срок оказания услуг по уборке помещения, предназначенного для размещения офиса ООО «Технотранс», в рамках заключенного договора № 06/01/КЛ-25/06/2018 от 25.06.2018; срок пропускного режима автотранспортных средств на открытой площадке офисно- делового центра в рамках договора № 01/38/ПН01/03/2018 от 01.03.2018; срок аренды парковочных мест в рамках заключенного договора № 02/29/ПП-07/02/2021 от 07.02.2021. Согласно расчету ООО «Технотранс», размер убытков общества в связи с необходимостью продления данных договоров составляет 2 802 051,64 руб. Указанные обстоятельства послужили основанием для обращения общества в суд с настоящим иском. Ссылаясь на выполнение работ и ненадлежащее исполнение заказчиком обязательств по их оплате, компания обратилась в суд со встречным иском. Исследовав и оценив по правилам статей 9, 65, 68, 71 АПК РФ представленные доказательства, руководствуясь статьями 15, 309, 310, 329, 330, 333, 393, 401, 405, 421, 431, 702, 708, 711, 715-717, 726, 740, 743, 746, 753, 1102 ГК РФ, разъяснениями, данными в пунктах 73, 74, 75 постановления Пленума Верховного Суда Российской Федерации № 7 от 24.03.2016 «О применении судами некоторых положений Гражданского кодекса Российской Федерации об ответственности за нарушение обязательств», правовой позицией, изложенной в пункте 10 информационного письма Президиума Высшего Арбитражного Суда Российской Федерации от 24.01.2000 № 51 «Обзор практики разрешения споров по договору подряда», суды взыскали с компании в пользу общества неустойку в размере 3 338 879,37 руб., в удовлетворении 4 остальной части первоначального иска отказали, по встречному иску с общества в пользу компании взыскано 1 390 012,53 руб. задолженности, 47 260,43 руб. неустойки, в удовлетворении остальной части встречного иска отказано. Отказывая в удовлетворении требования общества о взыскании неотработанного аванса, суды исходили из доказанности факта выполнения компанией работ на сумму 26 766 655,83 руб., предъявления их к приемке заказчику до расторжения договора, несущественности замечаний заказчика к данным работам и отсутствия мотивированного отказа от их приемки. Частично удовлетворяя требование общества о взыскании неустойки, суды пришли к выводу о нарушении подрядчиком сроков выполнения работ и наличии оснований для ее взыскания с учетом согласованного сторонами увеличения стоимости работ и промежуточной сдачи подрядчиком части работ. Признавая не подлежащим удовлетворению требование общества о взыскании заявленных убытков, суды сослались на недоказанность всех элементов состава гражданско-правового нарушения, необходимых и достаточных для привлечения компании к ответственности в виде возмещения убытков в заявленной сумме. Указав на согласованную сторонами стоимость работ, приняв во внимание произведенные заказчиком оплаты и допущенное нарушение сроков оплаты работ, суды частично удовлетворили встречный иск.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«Технотранс»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