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«АСО» (далее – Общество) обратилось в Арбитражный суд Чувашской Республики – Чувашии с исковым заявлением,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«Научно-производственная фирма «СтройПокрытие» (далее – Фирма) о взыскании 250 000 рублей задолженности по арендной плате, 16120 рублей 94 копеек процентов за пользование чужими денежными средствами за период с 26.05.2020 по 31.03.2022. В свою очередь, Фирма заявила встречное требование о признании незаключенным договора аренды автомобиля от 01.05.2020. Решением Арбитражный суд Чувашской Республики – Чувашии от 11.11.2022, оставленным без изменения постановлением Первого арбитражного апелляционного суда от 31.05.2023 и постановлением Арбитражного суда Волго- Вятского округа от 19.09.2023, первоначальный иск удовлетворен, в удовлетворении встречного требования отказано. В кассационной жалобе, поданной в Верховный Суд Российской Федерации, заявитель просит отменить состоявшиеся судебные акты, ссылаясь на 2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фактически спорный автомобиль ему не передавался.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(арендодатель) и Фирма (арендатор) заключили договор аренды автомобиля от 01.05.2020 (далее – договор), по условиям которого арендодатель предоставляет за плату во временное владение и пользование арендатора транспортное средство. Пунктом 2.1 договора установлена арендная плата в размере 10000 рублей в месяц. Согласно пункту 3.1 договор заключен на срок с 01.05.2020 по 31.12.2020 и может быть продлен сторонами по взаимному соглашению. Передача автомобиля в пользование арендатора оформлена сторонами путем подписания акта приема-передачи от 01.05.2020. Невозвращение Фирмой автомобиля по истечении срока действия договора и уклонение от внесения арендной платы, послужило основанием для обращения Общества в арбитражный суд с первоначальным иском. Заявляя встречное требование, Фирма сослалась на формальный характер договора и отсутствие его реального исполнения. Исследовав и оценив по правилам статьи 71 АПК РФ представленные доказательства, руководствуясь статьями 309, 310, 606, 610, 614, 622, 625, 642 Гражданского кодекса Российской Федерации (далее – Гражданский кодекс), разъяснениями, изложенными в пункте 38 информационного письма Президиума Высшего Арбитражного Суда Российской Федерации от 11.01.2002 № 66 «Обзор практики разрешения споров, связанных с арендой», суды удовлетворили первоначальный иск, установив, что спорное транспортное средство передано по акту приема-передачи от 01.05.2020 вместе с паспортом транспортного средства. В акте зафиксировано, что автомобиль передан в исправном техническом состоянии, лакокрасочное покрытие не имеет сколов, царапин и других дефектов; арендатор с правилами эксплуатации автомобиля ознакомлен в полном объеме, исправность дополнительного оборудования проверил, комплект ключей получил. Указанный акт подписан директором Фирмы без замечаний и скреплен оттиском печати. При этом подписав договор аренды и акт приема-передачи автомобиля, Фирма каких-либо претензий арендодателю не предъявляла. 3 Отклоняя встречное требование, суды руководствовались статьями 432, 607 Гражданского кодекса и исходили из того, что договор содержал все существенные условия, транспортное средство было принято арендатором во владение, оснований признать договор незаключенным не имеется.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«Научно-производственная фирма «СтройПокрытие»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