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Хакассия от 03.03.2023, оставленным без изменения постановлением Третьего арбитражного апелляционного суда от 17.07.2023 и постановлением Арбитражного суда Восточно-Сибирского округа от 05.10.2023, заявление удовлетворено. В кассационной жалобе банк просит об отмене судебных актов, ссылаясь на недобросовестные действия должника в отношении квартиры.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спорная квартира принадлежит должнику и его семье на праве долевой собственности, является для них единственным пригодным для проживания жильем, поэтому, руководствуясь статьей 446 Гражданского процессуального кодекса Российской Федерации, пунктом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признали за ней исполнительский иммунитет. Совершенное ранее дарение квартиры, признанное недействительным судом, не относится к действиям, влекущим недопустимость применения исполнительского иммунитета.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«Хакасский муниципальный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