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города Москвы от 21.03.2023, оставленным без изменения постановлением Девятого арбитражного апелляционного суда от 15.06.2023 и постановлением Арбитражного суда Московского округа от 31.08.2023, договор поручительства от 06.07.2018, заключенный должником с индивидуальным предпринимателем Чернышовым С.Е., признан недействительным, в удовлетворении заявления о включении требования в реестр отказано. В кассационной жалобе Чернышов С.Е. просит об отмене судебных актов, ссылаясь на неправомерное объединение двух заявлений, непроверку прав кредитора на оспаривание сделки по общегражданским основаниям в деле о банкротстве, неисследование обстоятельств заключения договора поручительства.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 кредитора на оспаривание сделки в деле о банкротстве должника соответствует судебной практике. Заявления являются взаимосвязанными: при устранении договора, основанные на нем требования удовлетворению не подлежат. Суды исследовали обстоятельства выдачи поручительства и установили отклонение его от обычной сделки, отсутствие в нем экономической целесообразности и убыточность для должника, не устанавливаемые в пределах гражданского дела об исполнении поручительства в суде общей юрисдикции, поэтому признали сделку совершенной с нарушением пределов осуществления гражданских прав в силу статей 10, 168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Чернышову С.Е.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