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Мордовия от 24.01.2023, оставленным без изменения постановлением Первого арбитражного апелляционного суда от 29.05.2023 и постановлением Арбитражного суда Волго-Вятского округа от 07.09.2023, в удовлетворении заявления отказано. В кассационной жалобе Кожемяков А.В. просит об отмене судебных актов, ссылаясь на несоответствие выводов судов о неосведомленности взыскателя о неплатежеспособности должника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итогу оценки обстоятельств передачи взыскателю судебным приставом-исполнителем нереализованного в исполнительном производстве имущества должника установили непопадание ее под основания недействительности, предусмотренные пунктами 1, 3 статьи 61.3 Федерального закона «О несостоятельности (банкротстве)». Приведенные в жалобе доводы рассмотрены судами и получили правовую оценку, требуемое изменение которой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Кожемякову Андрею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