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17.05.2023, оставленным без изменения постановлением Тринадцатого арбитражного апелляционного суда от 13.07.2023 и постановлением Арбитражного суда Северо-Западного округа от 22.09.2023, в удовлетворении заявления отказано. В кассационной жалобе Суровов В.В. просит об отмене судебных актов, ссылаясь на то, что спорная квартира является общей совместной собственностью супругов, дарения заключен с целью вывода ликвидного имущества из конкурсной массы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руководствуясь статьей 36 Семейного кодекса Российской Федерации, признали, что спорная квартира не может считаться совместной собственностью супругов, установив ее приобретение на личные денежные средства супруги должника. Требуемая переоценка установленных судами обстоятельств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Суровову Виталию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