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19.06.2023, оставленным без изменения постановлением Восемнадцатого арбитражного апелляционного суда от 04.08.2023 и постановлением Арбитражного суда Уральского округа от 11.10.2023,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