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указанные судебные акты, одновременно ходатайствуя об отсрочке уплаты государственной пошлины за ее подачу, обосновывая неуплату государственной пошлины тяжелым имущественным положением и блокировкой счетов в связи с исполнительным производством. В силу статьи 102 Арбитражного процессуального кодекса Российской Федерации (далее -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2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государственной пошлины, судья не усматривает оснований для его удовлетворения, поскольку заявителем не представлены вышеназванные документы. В связи с изложенным ходатайство подлежит отклонению, а кассационная жалоба возвращается без рассмотрения по существу на основании статьи 2915 АПК РФ. Кассационная жалоба подана в электронном виде, в связи с чем бумажный носитель с текстом кассационной жалобы в его адрес не возвращается. Руководствуясь статьями 184, 2915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«СанТехСервис Амур» в удовлетворении ходатайства об отсрочке уплаты государственной пошлины. Кассационную жалобу возвратить заявителю.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