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25.05.2023, оставленным без изменения постановлением Двенадцатого арбитражного апелляционного суда от 25.07.2023 и постановлением Арбитражного суда Поволжского округа от 19.10.2023,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