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Московского округа от 06.09.2023 отменены определение Арбитражного суда города Москвы от 27.03.2023 и постановление Девятого арбитражного апелляционного суда от 30.05.2023, спор направлен на новое рассмотрение в суд первой инстанции. В кассационных жалобах Богомолов Ю.В. и Ратников Е.Н. просят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Бондаренко Юрию Владимировичу и финансовому управляющему Ратникову Евгению Николаевичу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