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Рязанской области от 10.08.2021, оставленным без изменения постановлением Двадцатого арбитражного апелляционного суда от 13.10.2021 и постановлением Арбитражного суда Центрального округа от 14.02.2022, заявление ФИО1 о признании ФИО2 банкротом признано обоснованным, в отношении должника введена процедура реструктуризации долгов гражданина. В кассационной жалобе ФИО1 просит об отмене судебных актов вследствие неосновательного отклонения судами ходатайства о введении процедуры реализации имущества и несоответствия финансового положения должника критериям для реструктуризации долгов.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Процедура реструктуризации долгов применена судами в силу статей 213.2, 213.6, 213.13 Федерального закона от 26.10.2002 № 127-ФЗ «О несостоятельности (банкротстве)» в качестве восстановительной процедуры, в рамках которой для должника должны быть установлены объем долгов и возможные источники их погашения. Доводы кассационной жалобы не подтверждают нарушения норм права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Профатило Валентин Николаевич в лице представителя: Буцкий Михаил Юрьевич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