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20.04.2023, оставленным без изменения постановлением Десятого арбитражного апелляционного суда от 18.07.2023 и постановлением Арбитражного суда Московского округа от 19.10.2023,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