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иск Калужской области от 20.03.2023, оставленным без изменения постановлением Двадцатого арбитражного апелляционного суда от 10.07.2023 и постановлением Арбитражного суда Центрального округа от 19.10.2023, иск удовлетворен в части взыскания 6 821 916 рублей убытков. В кассационной жалобе общество «КалугаВагонСервис» просит об отмене судебных актов, ссылаясь на неосновательное возложение ответственности за утрату груза на ответчика.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установив ненадлежащее исполнение ответчиком заключенного сторонами договора на оказание транспортно-экспедиционных услуг от 10.01.2020 № ТЭУ-0101/20-КВС, удовлетворили иск в соответствии со статьями 15, 393, 803 Гражданского кодекса Российской Федерации и статьи 7 Федерального закона от 30.06.2003 № 87-ФЗ «О транспортно-экспедиционной деятельности». Требуемое изменение оценки обстоятельств исполнения обязательства не попадает под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«КалугаВагонСервис»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