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изготовлении указанного выше определения по тексту допущена опечатка в наименовании суда кассационной инстанции. Данная опечатка является технической, ее исправление не влияет на содержание судебного акта и не изменяет его. Руководствуясь статьями 179, 184, 185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исправить допущенную в тексте определения Судебной коллегии по экономическим спорам Верховного Суда Российской Федерации от 25.12.2023 № 307-ЭС23-22201 опечатку. В вводной, описательной и резолютивной частях определения вместо слов «Арбитражного суда Волго-Вятского округа» следует читать «Арбитражного суда Северо-Западного округа». Судья Верховного Суда Н.В. Павлова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